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49" w:rsidRPr="004437D7" w:rsidRDefault="00B61449" w:rsidP="00B61449">
      <w:pPr>
        <w:spacing w:after="0" w:line="240" w:lineRule="auto"/>
        <w:ind w:left="709"/>
        <w:jc w:val="right"/>
        <w:rPr>
          <w:rFonts w:eastAsia="Calibri"/>
        </w:rPr>
      </w:pPr>
      <w:bookmarkStart w:id="0" w:name="_Toc502133259"/>
      <w:r w:rsidRPr="004437D7">
        <w:rPr>
          <w:rFonts w:eastAsia="Calibri"/>
        </w:rPr>
        <w:t>Приложение</w:t>
      </w:r>
      <w:r>
        <w:rPr>
          <w:rFonts w:eastAsia="Calibri"/>
        </w:rPr>
        <w:t xml:space="preserve"> 2</w:t>
      </w:r>
      <w:r w:rsidRPr="004437D7">
        <w:rPr>
          <w:rFonts w:eastAsia="Calibri"/>
        </w:rPr>
        <w:t xml:space="preserve"> </w:t>
      </w:r>
    </w:p>
    <w:p w:rsidR="00B61449" w:rsidRPr="004437D7" w:rsidRDefault="00B61449" w:rsidP="00B61449">
      <w:pPr>
        <w:spacing w:after="0" w:line="240" w:lineRule="auto"/>
        <w:ind w:left="709"/>
        <w:jc w:val="right"/>
        <w:rPr>
          <w:rFonts w:eastAsia="Calibri"/>
        </w:rPr>
      </w:pPr>
      <w:r w:rsidRPr="004437D7">
        <w:rPr>
          <w:rFonts w:eastAsia="Calibri"/>
        </w:rPr>
        <w:t>к решению Думы Березовского района</w:t>
      </w:r>
    </w:p>
    <w:p w:rsidR="00B61449" w:rsidRDefault="00B61449" w:rsidP="00B61449">
      <w:pPr>
        <w:spacing w:after="0" w:line="240" w:lineRule="auto"/>
        <w:ind w:left="709"/>
        <w:jc w:val="right"/>
        <w:rPr>
          <w:rFonts w:eastAsia="Calibri"/>
        </w:rPr>
      </w:pPr>
      <w:r w:rsidRPr="004437D7">
        <w:rPr>
          <w:rFonts w:eastAsia="Calibri"/>
        </w:rPr>
        <w:t xml:space="preserve">от </w:t>
      </w:r>
      <w:r w:rsidR="00FB1A3F">
        <w:rPr>
          <w:rFonts w:eastAsia="Calibri"/>
        </w:rPr>
        <w:t>29 ноября 2021 года  № 21</w:t>
      </w:r>
      <w:bookmarkStart w:id="1" w:name="_GoBack"/>
      <w:bookmarkEnd w:id="1"/>
    </w:p>
    <w:p w:rsidR="00B61449" w:rsidRDefault="00B61449" w:rsidP="00B61449">
      <w:pPr>
        <w:pStyle w:val="1"/>
        <w:pageBreakBefore w:val="0"/>
        <w:numPr>
          <w:ilvl w:val="0"/>
          <w:numId w:val="0"/>
        </w:numPr>
        <w:ind w:left="432" w:hanging="432"/>
        <w:jc w:val="right"/>
        <w:rPr>
          <w:bCs/>
          <w:caps w:val="0"/>
          <w:sz w:val="24"/>
        </w:rPr>
      </w:pPr>
    </w:p>
    <w:p w:rsidR="00B61449" w:rsidRDefault="00B61449" w:rsidP="00B61449">
      <w:pPr>
        <w:pStyle w:val="1"/>
        <w:pageBreakBefore w:val="0"/>
        <w:numPr>
          <w:ilvl w:val="0"/>
          <w:numId w:val="0"/>
        </w:numPr>
        <w:ind w:left="432" w:hanging="432"/>
        <w:jc w:val="left"/>
        <w:rPr>
          <w:b/>
          <w:bCs/>
          <w:sz w:val="24"/>
        </w:rPr>
      </w:pPr>
      <w:r>
        <w:rPr>
          <w:bCs/>
          <w:caps w:val="0"/>
          <w:sz w:val="24"/>
        </w:rPr>
        <w:t>Глава 2.</w:t>
      </w:r>
      <w:r>
        <w:rPr>
          <w:b/>
          <w:bCs/>
          <w:caps w:val="0"/>
          <w:sz w:val="24"/>
        </w:rPr>
        <w:t xml:space="preserve"> Зона застройки малоэтаж</w:t>
      </w:r>
      <w:bookmarkEnd w:id="0"/>
      <w:r>
        <w:rPr>
          <w:b/>
          <w:bCs/>
          <w:caps w:val="0"/>
          <w:sz w:val="24"/>
        </w:rPr>
        <w:t>ными жилыми домами (Ж 2)</w:t>
      </w:r>
    </w:p>
    <w:p w:rsidR="00B61449" w:rsidRDefault="00B61449" w:rsidP="00B61449">
      <w:pPr>
        <w:pStyle w:val="21"/>
        <w:keepLines w:val="0"/>
        <w:numPr>
          <w:ilvl w:val="0"/>
          <w:numId w:val="0"/>
        </w:numPr>
        <w:ind w:left="576" w:hanging="576"/>
        <w:jc w:val="left"/>
        <w:rPr>
          <w:rFonts w:eastAsia="Batang"/>
          <w:b/>
          <w:bCs/>
          <w:sz w:val="24"/>
        </w:rPr>
      </w:pPr>
      <w:r>
        <w:rPr>
          <w:rFonts w:eastAsia="Batang"/>
          <w:bCs/>
          <w:sz w:val="24"/>
          <w:lang w:val="ru-RU"/>
        </w:rPr>
        <w:t>Статья 5.</w:t>
      </w:r>
      <w:r>
        <w:rPr>
          <w:rFonts w:eastAsia="Batang"/>
          <w:b/>
          <w:bCs/>
          <w:sz w:val="24"/>
          <w:lang w:val="ru-RU"/>
        </w:rPr>
        <w:t xml:space="preserve"> </w:t>
      </w:r>
      <w:r>
        <w:rPr>
          <w:rFonts w:eastAsia="Batang"/>
          <w:b/>
          <w:bCs/>
          <w:sz w:val="24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4770"/>
        <w:gridCol w:w="4489"/>
        <w:gridCol w:w="3176"/>
      </w:tblGrid>
      <w:tr w:rsidR="00B61449" w:rsidTr="00B61449">
        <w:trPr>
          <w:trHeight w:val="405"/>
          <w:tblHeader/>
          <w:jc w:val="center"/>
        </w:trPr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keepNext/>
              <w:keepLines/>
              <w:jc w:val="center"/>
              <w:rPr>
                <w:rFonts w:eastAsia="Batang"/>
                <w:b/>
                <w:sz w:val="22"/>
              </w:rPr>
            </w:pPr>
            <w:r>
              <w:rPr>
                <w:rFonts w:eastAsia="Batang"/>
                <w:b/>
                <w:sz w:val="22"/>
              </w:rPr>
              <w:t>Виды использования</w:t>
            </w:r>
          </w:p>
        </w:tc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keepNext/>
              <w:keepLines/>
              <w:jc w:val="center"/>
              <w:rPr>
                <w:rFonts w:eastAsia="Batang"/>
                <w:b/>
                <w:sz w:val="22"/>
              </w:rPr>
            </w:pPr>
            <w:r>
              <w:rPr>
                <w:rFonts w:eastAsia="Batang"/>
                <w:b/>
                <w:sz w:val="22"/>
              </w:rPr>
              <w:t>Параметры разрешенного использования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keepNext/>
              <w:keepLines/>
              <w:jc w:val="center"/>
              <w:rPr>
                <w:rFonts w:eastAsia="Batang"/>
                <w:b/>
                <w:sz w:val="22"/>
              </w:rPr>
            </w:pPr>
            <w:r>
              <w:rPr>
                <w:rFonts w:eastAsia="Batang"/>
                <w:b/>
                <w:sz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B61449" w:rsidTr="00B61449">
        <w:trPr>
          <w:trHeight w:val="270"/>
          <w:tblHeader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keepNext/>
              <w:keepLines/>
              <w:jc w:val="center"/>
              <w:rPr>
                <w:rFonts w:eastAsia="Batang"/>
                <w:b/>
                <w:sz w:val="22"/>
              </w:rPr>
            </w:pPr>
            <w:r>
              <w:rPr>
                <w:rFonts w:eastAsia="Batang"/>
                <w:b/>
                <w:sz w:val="22"/>
              </w:rPr>
              <w:t>Наименование вида использования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keepNext/>
              <w:keepLines/>
              <w:jc w:val="center"/>
              <w:rPr>
                <w:rFonts w:eastAsia="Batang"/>
                <w:b/>
                <w:sz w:val="22"/>
              </w:rPr>
            </w:pPr>
            <w:r>
              <w:rPr>
                <w:rFonts w:eastAsia="Batang"/>
                <w:b/>
                <w:sz w:val="22"/>
              </w:rPr>
              <w:t>Описание вида использования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rFonts w:eastAsia="Batang"/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rFonts w:eastAsia="Batang"/>
                <w:b/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Малоэтажная многоквартирная жилая застройка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>
              <w:rPr>
                <w:sz w:val="22"/>
              </w:rPr>
              <w:t>мансардный</w:t>
            </w:r>
            <w:proofErr w:type="gramEnd"/>
            <w:r>
              <w:rPr>
                <w:sz w:val="22"/>
              </w:rPr>
              <w:t>);</w:t>
            </w:r>
          </w:p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обустройство спортивных и детских площадок, площадок для отдыха;</w:t>
            </w:r>
          </w:p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Этажность – до 4 надземных этажей.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- от границ земельного участка до жилого дома - 3 м;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до хозяйственных строений – 1м;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м;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проездов – 3 м;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- в случае планирования на соседнем земельном участке пристроенного объекта – 0 м;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- в условиях реконструкции - в соответствии со сложившейся линией застройки, но не менее 3 м от границ земельного участка.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 не менее 1000 кв. м; 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для 1-этажных многоквартирных домов – 227 кв. м площади земельного участка на 100 кв. м общей площади квартир; 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для 2-х многоквартирных домов – 127 кв. м площади земельного участка на 100 кв. м общей площади квартир; 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для 3-х этажных многоквартирных домов – 94 кв. м площади </w:t>
            </w:r>
            <w:proofErr w:type="gramStart"/>
            <w:r>
              <w:rPr>
                <w:sz w:val="22"/>
              </w:rPr>
              <w:t>земельного</w:t>
            </w:r>
            <w:proofErr w:type="gramEnd"/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участка на 100 кв. м общей площади квартир; 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для 4-х этажных многоквартирных домов – 82 кв. м площади земельного участка на 100 кв. м общей площади квартир.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Фронтальная сторона земельного участка – не менее 30 м.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60%.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Минимальный процент озеленения территории – 15%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Pr="00B61449" w:rsidRDefault="00B61449" w:rsidP="00B61449">
            <w:pPr>
              <w:spacing w:before="21"/>
              <w:jc w:val="both"/>
              <w:rPr>
                <w:sz w:val="22"/>
              </w:rPr>
            </w:pPr>
            <w:r w:rsidRPr="00B61449">
              <w:rPr>
                <w:sz w:val="22"/>
              </w:rPr>
              <w:lastRenderedPageBreak/>
              <w:t xml:space="preserve">Раздел проектной документации "Требования к безопасной эксплуатации объекта капитального строительства" является обязательным для вновь строящихся, реконструируемых и подвергающихся капитальному ремонту зданий (сооружений). Эксплуатация многоквартирных жилых зданий возможна только при обеспечении безопасных условий проживания в соответствии со Сводом Правил СП 372.1325800.2018 «Здания жилые многоквартирные. Правила </w:t>
            </w:r>
            <w:r w:rsidRPr="00B61449">
              <w:rPr>
                <w:sz w:val="22"/>
              </w:rPr>
              <w:lastRenderedPageBreak/>
              <w:t>эксплуатации</w:t>
            </w:r>
          </w:p>
          <w:p w:rsidR="00B61449" w:rsidRDefault="00B61449" w:rsidP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деятельности в границах зоны затопления территории с. Саранпауль, затапливаемой водами р. </w:t>
            </w:r>
            <w:proofErr w:type="spellStart"/>
            <w:r>
              <w:rPr>
                <w:sz w:val="22"/>
              </w:rPr>
              <w:t>Ляпин</w:t>
            </w:r>
            <w:proofErr w:type="spellEnd"/>
            <w:r>
              <w:rPr>
                <w:sz w:val="22"/>
              </w:rPr>
              <w:t xml:space="preserve"> при половодьях и паводках 1-процентной обеспеченности </w:t>
            </w:r>
            <w:proofErr w:type="spellStart"/>
            <w:proofErr w:type="gramStart"/>
            <w:r>
              <w:rPr>
                <w:sz w:val="22"/>
              </w:rPr>
              <w:t>обеспеченности</w:t>
            </w:r>
            <w:proofErr w:type="spellEnd"/>
            <w:proofErr w:type="gramEnd"/>
            <w:r>
              <w:rPr>
                <w:sz w:val="22"/>
              </w:rPr>
              <w:t xml:space="preserve"> в соответствии с Водным кодексом Российской Федерации;</w:t>
            </w:r>
          </w:p>
          <w:p w:rsidR="00B61449" w:rsidRDefault="00B61449" w:rsidP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деятельности в границах зоны затопления (территория, затапливаемая при максимальных уровнях воды 3–процентной обеспеченности р. </w:t>
            </w:r>
            <w:proofErr w:type="spellStart"/>
            <w:r>
              <w:rPr>
                <w:sz w:val="22"/>
              </w:rPr>
              <w:t>Ляпин</w:t>
            </w:r>
            <w:proofErr w:type="spellEnd"/>
            <w:r>
              <w:rPr>
                <w:sz w:val="22"/>
              </w:rPr>
              <w:t>) с. Саранпауль в соответствии с Водным кодексом Российской Федерации;</w:t>
            </w:r>
          </w:p>
          <w:p w:rsidR="00B61449" w:rsidRDefault="00B61449" w:rsidP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деятельности в границах зоны затопления (территория, затапливаемая при максимальных уровнях воды 5–процентной обеспеченности р. </w:t>
            </w:r>
            <w:proofErr w:type="spellStart"/>
            <w:r>
              <w:rPr>
                <w:sz w:val="22"/>
              </w:rPr>
              <w:t>Ляпин</w:t>
            </w:r>
            <w:proofErr w:type="spellEnd"/>
            <w:r>
              <w:rPr>
                <w:sz w:val="22"/>
              </w:rPr>
              <w:t xml:space="preserve">) с. Саранпауль в соответствии с Водным кодексом Российской </w:t>
            </w:r>
            <w:r>
              <w:rPr>
                <w:sz w:val="22"/>
              </w:rPr>
              <w:lastRenderedPageBreak/>
              <w:t>Федерации;</w:t>
            </w:r>
          </w:p>
          <w:p w:rsidR="00B61449" w:rsidRDefault="00B61449" w:rsidP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деятельности в границах зоны затопления (территория, затапливаемая при максимальных уровнях воды 10–процентной обеспеченности р. </w:t>
            </w:r>
            <w:proofErr w:type="spellStart"/>
            <w:r>
              <w:rPr>
                <w:sz w:val="22"/>
              </w:rPr>
              <w:t>Ляпин</w:t>
            </w:r>
            <w:proofErr w:type="spellEnd"/>
            <w:r>
              <w:rPr>
                <w:sz w:val="22"/>
              </w:rPr>
              <w:t>) с. Саранпауль в соответствии с Водным кодексом Российской Федерации;</w:t>
            </w:r>
          </w:p>
          <w:p w:rsidR="00B61449" w:rsidRDefault="00B61449" w:rsidP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деятельности в границах зоны затопления (территория, затапливаемая при максимальных уровнях воды 25–процентной обеспеченности р. </w:t>
            </w:r>
            <w:proofErr w:type="spellStart"/>
            <w:r>
              <w:rPr>
                <w:sz w:val="22"/>
              </w:rPr>
              <w:t>Ляпин</w:t>
            </w:r>
            <w:proofErr w:type="spellEnd"/>
            <w:r>
              <w:rPr>
                <w:sz w:val="22"/>
              </w:rPr>
              <w:t>) с. Саранпауль в соответствии с Водным кодексом Российской Федерации;</w:t>
            </w:r>
          </w:p>
          <w:p w:rsidR="00B61449" w:rsidRDefault="00B61449" w:rsidP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деятельности в границах зоны затопления (территория, затапливаемая при максимальных уровнях воды 50–процентной обеспеченности р. </w:t>
            </w:r>
            <w:proofErr w:type="spellStart"/>
            <w:r>
              <w:rPr>
                <w:sz w:val="22"/>
              </w:rPr>
              <w:t>Ляпин</w:t>
            </w:r>
            <w:proofErr w:type="spellEnd"/>
            <w:r>
              <w:rPr>
                <w:sz w:val="22"/>
              </w:rPr>
              <w:t xml:space="preserve">) с. Саранпауль в соответствии с Водным кодексом Российской </w:t>
            </w:r>
            <w:r>
              <w:rPr>
                <w:sz w:val="22"/>
              </w:rPr>
              <w:lastRenderedPageBreak/>
              <w:t>Федерации;</w:t>
            </w:r>
          </w:p>
          <w:p w:rsidR="00B61449" w:rsidRDefault="00B61449" w:rsidP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деятельности в границах территории сильного подтопления (при глубине залегания грунтовых вод менее 0,3метра), </w:t>
            </w:r>
            <w:proofErr w:type="gramStart"/>
            <w:r>
              <w:rPr>
                <w:sz w:val="22"/>
              </w:rPr>
              <w:t>прилегающая</w:t>
            </w:r>
            <w:proofErr w:type="gramEnd"/>
            <w:r>
              <w:rPr>
                <w:sz w:val="22"/>
              </w:rPr>
              <w:t xml:space="preserve"> к зоне затопления территории с. Саранпауль, затапливаемой водами р. </w:t>
            </w:r>
            <w:proofErr w:type="spellStart"/>
            <w:r>
              <w:rPr>
                <w:sz w:val="22"/>
              </w:rPr>
              <w:t>Ляпин</w:t>
            </w:r>
            <w:proofErr w:type="spellEnd"/>
            <w:r>
              <w:rPr>
                <w:sz w:val="22"/>
              </w:rPr>
              <w:t xml:space="preserve"> при половодьях и паводках в соответствии с Водным кодексом Российской Федерации;</w:t>
            </w:r>
          </w:p>
          <w:p w:rsidR="00B61449" w:rsidRDefault="00B61449" w:rsidP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деятельности в границах территории слабого подтопления (при глубине залегания грунтовых вод от 2 до 3 метров), </w:t>
            </w:r>
            <w:proofErr w:type="gramStart"/>
            <w:r>
              <w:rPr>
                <w:sz w:val="22"/>
              </w:rPr>
              <w:t>прилегающая</w:t>
            </w:r>
            <w:proofErr w:type="gramEnd"/>
            <w:r>
              <w:rPr>
                <w:sz w:val="22"/>
              </w:rPr>
              <w:t xml:space="preserve"> к зоне затопления территории с. Саранпауль, затапливаемой водами р. </w:t>
            </w:r>
            <w:proofErr w:type="spellStart"/>
            <w:r>
              <w:rPr>
                <w:sz w:val="22"/>
              </w:rPr>
              <w:t>Ляпин</w:t>
            </w:r>
            <w:proofErr w:type="spellEnd"/>
            <w:r>
              <w:rPr>
                <w:sz w:val="22"/>
              </w:rPr>
              <w:t xml:space="preserve"> при половодьях и паводках в соответствии с Водным кодексом Российской Федерации;</w:t>
            </w:r>
          </w:p>
          <w:p w:rsidR="00B61449" w:rsidRDefault="00B61449" w:rsidP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Осуществление деятельности в границах территории умеренного подтопления (при </w:t>
            </w:r>
            <w:r>
              <w:rPr>
                <w:sz w:val="22"/>
              </w:rPr>
              <w:lastRenderedPageBreak/>
              <w:t xml:space="preserve">глубине залегания грунтовых вод от 0,3-0,7 до 1,2-2 метров), </w:t>
            </w:r>
            <w:proofErr w:type="gramStart"/>
            <w:r>
              <w:rPr>
                <w:sz w:val="22"/>
              </w:rPr>
              <w:t>прилегающая</w:t>
            </w:r>
            <w:proofErr w:type="gramEnd"/>
            <w:r>
              <w:rPr>
                <w:sz w:val="22"/>
              </w:rPr>
              <w:t xml:space="preserve"> к зоне затопления территории с. Саранпауль, затапливаемой водами р. </w:t>
            </w:r>
            <w:proofErr w:type="spellStart"/>
            <w:r>
              <w:rPr>
                <w:sz w:val="22"/>
              </w:rPr>
              <w:t>Ляпин</w:t>
            </w:r>
            <w:proofErr w:type="spellEnd"/>
            <w:r>
              <w:rPr>
                <w:sz w:val="22"/>
              </w:rPr>
              <w:t xml:space="preserve"> при половодьях и паводках в соответствии с Водным кодексом Российской Федерации.</w:t>
            </w: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lastRenderedPageBreak/>
              <w:t>Блокированная жилая застройка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</w:t>
            </w:r>
            <w:r>
              <w:rPr>
                <w:sz w:val="22"/>
              </w:rPr>
              <w:lastRenderedPageBreak/>
              <w:t>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>
              <w:rPr>
                <w:sz w:val="22"/>
              </w:rPr>
              <w:t xml:space="preserve"> пользования (жилые дома блокированной застройки);</w:t>
            </w:r>
          </w:p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разведение декоративных и плодовых деревьев, овощных и ягодных культур;</w:t>
            </w:r>
          </w:p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размещение индивидуальных гаражей и иных вспомогательных сооружений;</w:t>
            </w:r>
          </w:p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обустройство спортивных и детских площадок, площадок для отдыха</w:t>
            </w:r>
          </w:p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/>
              <w:rPr>
                <w:sz w:val="22"/>
              </w:rPr>
            </w:pPr>
            <w:r>
              <w:rPr>
                <w:sz w:val="22"/>
              </w:rPr>
              <w:lastRenderedPageBreak/>
              <w:t>Этажность – не более 3 наземных этажей.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Минимальные отступы от границ </w:t>
            </w:r>
            <w:r>
              <w:rPr>
                <w:sz w:val="22"/>
              </w:rPr>
              <w:lastRenderedPageBreak/>
              <w:t>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без отступа, со стороны примыкания соседнего жилого дома;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проездов –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в условиях реконструкции - в соответствии со сложившейся линией застройки.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минимальный – 200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максимальный –800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фронтальная сторона – не менее 5,5 м.</w:t>
            </w:r>
          </w:p>
          <w:p w:rsidR="00B61449" w:rsidRDefault="00B61449">
            <w:pPr>
              <w:ind w:left="7"/>
              <w:jc w:val="both"/>
              <w:rPr>
                <w:sz w:val="22"/>
              </w:rPr>
            </w:pPr>
            <w:r>
              <w:rPr>
                <w:sz w:val="22"/>
              </w:rPr>
              <w:t>Высота ограждений: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не выше 2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на перекрестке улиц в треугольнике видимости – не выше 0,5 м;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по фронтальной стороне участка – не выше 1,3 м.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sz w:val="22"/>
              </w:rPr>
              <w:t>Максимальный процент застройки в границах земельного участка – 75%, включая основное здание и вспомогательные строения, в том числе хозяйственные постройки.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sz w:val="22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</w:t>
            </w:r>
            <w:r>
              <w:rPr>
                <w:sz w:val="22"/>
              </w:rPr>
              <w:lastRenderedPageBreak/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выращивание сельскохозяйственных культур;</w:t>
            </w:r>
          </w:p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2"/>
              </w:rPr>
            </w:pPr>
            <w:r>
              <w:rPr>
                <w:sz w:val="22"/>
              </w:rPr>
              <w:t>размещение индивидуальных гаражей и хозяйственных построек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Этажность – не более 3 наземных этажей.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отступы: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от границ земельного участка до жилого </w:t>
            </w:r>
            <w:r>
              <w:rPr>
                <w:sz w:val="22"/>
              </w:rPr>
              <w:lastRenderedPageBreak/>
              <w:t>дома - 3 м;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жилого дома на смежном земельном участке – 6 м;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м;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проездов – 3 м;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до хозяйственных построек – 1м, 0 м при смежном размещении хозяйственных построек с согласия владельцев смежного земельного участка;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в условиях реконструкции - в соответствии со сложившейся линией застройки, но не менее 3 м от границ земельного участка.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минимальный – 400 кв. м;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максимальный – 2000 кв. м;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фронтальная сторона – не менее 20 м.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Высота ограждений: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не выше 2 м;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на перекрестке улиц в треугольнике видимости – не выше 0,5 м;</w:t>
            </w:r>
          </w:p>
          <w:p w:rsidR="00B61449" w:rsidRDefault="00B61449">
            <w:pPr>
              <w:spacing w:before="21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по фронтальной стороне участка – не выше 1,3 м. 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Максимальный процент застройки в границах земельного участка, включая здания, строения, в том числе обеспечивающие функционирование объекта - 60%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Этажность – не более 3 наземных этажей.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со стороны смежного земельного участка - 3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до основного здания - 6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до вспомогательных зданий, строений - 5 м.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для амбулаторий – не менее 3 000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для фельдшерско-акушерского пункта – не менее 500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фронтальная сторона – не менее 20 м.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 процент застройки в границах земельного участка – 45%.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sz w:val="22"/>
              </w:rPr>
              <w:t>Минимальный процент озеленения – 40%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Дошкольное, начальное и среднее общее образование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</w:t>
            </w:r>
            <w:r>
              <w:rPr>
                <w:sz w:val="22"/>
              </w:rPr>
              <w:lastRenderedPageBreak/>
              <w:t>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Этажность – не более 4 наземных этажей.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 от границ смежного земельного участка до основного здания –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до хозяйственных строений – 1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до основного здания - 10 м.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Размеры земельных участков дошкольных образовательных организаций: 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до 100 мест – 27 кв. м на 1 место;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101 места – 23 кв. м на 1 место;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для объектов, встроенных в жилые здания – 8 кв. м на 1 место.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Размеры земельных участков общеобразовательных организаций: 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до 400 мест – 33 кв. м на 1 место;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401 до 500 мест – 39 кв. м на 1 место;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501 до 600 мест – 33 кв. м на 1 место;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от 601 до 800 мест – 27 кв. м на 1 место; 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Размеры земельных участков организаций дополнительного образования – для отдельно стоящих зданий – 15 кв. м на 1 место. 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Фронтальная сторона земельного участка – не менее 20 м.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 процент застройки в границах земельного участка – 30%.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Минимальный процент озеленения – 30%.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sz w:val="22"/>
              </w:rPr>
              <w:lastRenderedPageBreak/>
              <w:t>Минимальный процент спортивно-игровых площадок – 20%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sz w:val="22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Этажность – не более 2 наземных этажей.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–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в условиях реконструкции - в соответствии со сложившейся линией застройки, но не менее 3м от границ земельного участка.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не менее 400 кв. м.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фронтальная сторона земельного участка – не менее 15 м.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 процент застройки в границах земельного участка – 70%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sz w:val="22"/>
              </w:rPr>
              <w:t>Площадки для занятий спортом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Этажность – не подлежит установлению.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 – 3 м.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не менее 50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площадка для бадминтона – 200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баскетбольная площадка – 720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 волейбольная площадка – 880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футбольное поле – 4 500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фронтальная сторона земельного участка – не менее 5 м.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 процент застройки в границах земельного участка – не подлежит установлению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Оказание социальной помощи населению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Этажность – не более 2 наземных этажей.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–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 - не менее 500 кв. м.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Фронтальная сторона земельного участка – не менее 20 м.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Максимальный процент застройки в границах земельного участка – 70%, включая основное здание и вспомогательные строения, в том числе хозяйственные постройки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tabs>
                <w:tab w:val="center" w:pos="313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Общежития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</w:t>
            </w:r>
            <w:r>
              <w:rPr>
                <w:sz w:val="22"/>
              </w:rPr>
              <w:lastRenderedPageBreak/>
              <w:t xml:space="preserve">размещение которых предусмотрено содержанием вида разрешенного использования с </w:t>
            </w:r>
            <w:hyperlink r:id="rId6" w:history="1">
              <w:r>
                <w:rPr>
                  <w:rStyle w:val="a3"/>
                  <w:sz w:val="22"/>
                </w:rPr>
                <w:t>кодом 4.7</w:t>
              </w:r>
            </w:hyperlink>
            <w:r>
              <w:rPr>
                <w:sz w:val="22"/>
              </w:rPr>
              <w:t xml:space="preserve"> Классификатора видов разрешенного использования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Этажность – не более 4 наземных этажей.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 от границ смежного земельного участка –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 – не менее 500 кв. м.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Фронтальная сторона земельного участка – не менее 20 м.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Максимальный процент застройки в границах земельного участка – 50%, включая основное здание и вспомогательные строения, в том числе хозяйственные постройки.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Объекты культурно-досуговой деятельности</w:t>
            </w:r>
          </w:p>
          <w:p w:rsidR="00B61449" w:rsidRDefault="00B61449">
            <w:pPr>
              <w:tabs>
                <w:tab w:val="center" w:pos="313"/>
              </w:tabs>
              <w:jc w:val="both"/>
              <w:rPr>
                <w:sz w:val="22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Этажность – не более 4 наземных этажей.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–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не менее 500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для учреждений культуры клубного типа – не менее 4 000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для библиотек – 300 кв. м на 1 тыс. единиц хранения.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Фронтальная сторона земельного участка – не менее 20 м.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Максимальный процент застройки в границах земельного участка – 70%, включая основное здание и вспомогательные строения, в том числе хозяйственные постройки.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Минимальный процент озеленения – 15%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lastRenderedPageBreak/>
              <w:t>Магазины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Этажность – не более 2 наземных этажей.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–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не менее 200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при торговой площади до 250 кв. м – 800 кв. м. на 100 кв. м торговой площади;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при торговой площади от 250 до 650 кв. м – 600 кв. м. на 100 кв. м торговой площади;</w:t>
            </w:r>
          </w:p>
          <w:p w:rsidR="00B61449" w:rsidRDefault="00B61449">
            <w:pPr>
              <w:spacing w:before="21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при торговой площади от 650 до 1500 кв. м – 200 кв. м. на 100 кв. м торговой площади; </w:t>
            </w:r>
          </w:p>
          <w:p w:rsidR="00B61449" w:rsidRDefault="00B61449">
            <w:pPr>
              <w:spacing w:before="21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фронтальная сторона земельного участка – не менее 10 м.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sz w:val="22"/>
              </w:rPr>
              <w:t xml:space="preserve">Максимальный процент застройки в границах земельного участка – 70%, включая основное здание и вспомогательные строения, в том числе хозяйственные </w:t>
            </w:r>
            <w:r>
              <w:rPr>
                <w:sz w:val="22"/>
              </w:rPr>
              <w:lastRenderedPageBreak/>
              <w:t>постройки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lastRenderedPageBreak/>
              <w:t>Общественное питание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Этажность – не более 2 наземных этажей.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–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минимальный размер - 200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для объектов до 100 мест – не менее 2000 кв. м на 100 мест;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для объектов от 101 до 150 мест – не менее 1500 кв. м на 100 мест;</w:t>
            </w:r>
          </w:p>
          <w:p w:rsidR="00B61449" w:rsidRDefault="00B61449">
            <w:pPr>
              <w:spacing w:before="21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для объектов свыше 150 мест – не менее 1000 кв. м на 100 мест; </w:t>
            </w:r>
          </w:p>
          <w:p w:rsidR="00B61449" w:rsidRDefault="00B61449">
            <w:pPr>
              <w:spacing w:before="21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фронтальная сторона земельного участка – не менее 15 м.</w:t>
            </w:r>
          </w:p>
          <w:p w:rsidR="00B61449" w:rsidRDefault="00B61449">
            <w:pPr>
              <w:spacing w:before="22"/>
              <w:jc w:val="both"/>
              <w:rPr>
                <w:rFonts w:eastAsia="Batang"/>
                <w:sz w:val="22"/>
              </w:rPr>
            </w:pPr>
            <w:r>
              <w:rPr>
                <w:sz w:val="22"/>
              </w:rPr>
              <w:t xml:space="preserve"> Максимальный процент застройки в границах земельного участка – 70%, включая основное здание и вспомогательные строения, в том числе хозяйственные постройки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Государственное управление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sz w:val="22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</w:t>
            </w:r>
            <w:r>
              <w:rPr>
                <w:sz w:val="22"/>
              </w:rPr>
              <w:lastRenderedPageBreak/>
              <w:t>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Этажность – не более 4 наземных этажей.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от границ смежного земельного участка – 3 </w:t>
            </w:r>
            <w:r>
              <w:rPr>
                <w:sz w:val="22"/>
              </w:rPr>
              <w:lastRenderedPageBreak/>
              <w:t>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м.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spacing w:before="21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не менее 500 кв. м</w:t>
            </w:r>
          </w:p>
          <w:p w:rsidR="00B61449" w:rsidRDefault="00B61449">
            <w:pPr>
              <w:spacing w:before="21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фронтальная сторона земельного участка – не менее 20 м.</w:t>
            </w:r>
          </w:p>
          <w:p w:rsidR="00B61449" w:rsidRDefault="00B61449">
            <w:pPr>
              <w:spacing w:before="22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 процент застройки в границах земельного участка – 70%, включая основное здание и вспомогательные строения, в том числе хозяйственные постройки.</w:t>
            </w:r>
          </w:p>
          <w:p w:rsidR="00B61449" w:rsidRDefault="00B61449">
            <w:pPr>
              <w:spacing w:before="22"/>
              <w:jc w:val="both"/>
              <w:rPr>
                <w:rFonts w:eastAsia="Batang"/>
                <w:sz w:val="22"/>
              </w:rPr>
            </w:pPr>
            <w:r>
              <w:rPr>
                <w:sz w:val="22"/>
              </w:rPr>
              <w:t>Минимальный процент озеленения – 15%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lastRenderedPageBreak/>
              <w:t>Деловое управление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Этажность – не более 4 наземных этажей.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–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м.</w:t>
            </w:r>
          </w:p>
          <w:p w:rsidR="00B61449" w:rsidRDefault="00B61449">
            <w:pPr>
              <w:ind w:left="27"/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spacing w:before="21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не менее 500 кв. м</w:t>
            </w:r>
          </w:p>
          <w:p w:rsidR="00B61449" w:rsidRDefault="00B61449">
            <w:pPr>
              <w:spacing w:before="21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фронтальная сторона земельного участка – не менее 15 м.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sz w:val="22"/>
              </w:rPr>
              <w:t xml:space="preserve">Максимальный процент застройки в границах земельного участка – 70%, включая основное здание и вспомогательные строения, в том числе хозяйственные </w:t>
            </w:r>
            <w:r>
              <w:rPr>
                <w:sz w:val="22"/>
              </w:rPr>
              <w:lastRenderedPageBreak/>
              <w:t>постройки.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lastRenderedPageBreak/>
              <w:t>Гостиничное обслуживание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Этажность – не более 4 наземных этажей.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–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 - не менее 500 кв. м.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Фронтальная сторона земельного участка – не менее 20 м.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sz w:val="22"/>
              </w:rPr>
              <w:t>Максимальный процент застройки в границах земельного участка – 70%, включая основное здание и вспомогательные строения, в том числе хозяйственные постройки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tabs>
                <w:tab w:val="center" w:pos="1116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Хранение автотранспорта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sz w:val="22"/>
              </w:rPr>
              <w:t>машино</w:t>
            </w:r>
            <w:proofErr w:type="spellEnd"/>
            <w:r>
              <w:rPr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7" w:history="1">
              <w:r>
                <w:rPr>
                  <w:rStyle w:val="a3"/>
                  <w:sz w:val="22"/>
                </w:rPr>
                <w:t>кодом 4.9</w:t>
              </w:r>
            </w:hyperlink>
            <w:r>
              <w:rPr>
                <w:sz w:val="22"/>
              </w:rPr>
              <w:t xml:space="preserve"> Классификатора видов разрешенного использования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rPr>
                <w:sz w:val="22"/>
              </w:rPr>
            </w:pPr>
            <w:r>
              <w:rPr>
                <w:sz w:val="22"/>
              </w:rPr>
              <w:t>Этажность – до 2 надземных этажей.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 для гаражей, предназначенных для разделения на парковочные места: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–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м.</w:t>
            </w:r>
          </w:p>
          <w:p w:rsidR="00B61449" w:rsidRDefault="00B61449">
            <w:pPr>
              <w:ind w:left="2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Минимальные отступы от границ земельного участка для индивидуальных </w:t>
            </w:r>
            <w:r>
              <w:rPr>
                <w:sz w:val="22"/>
              </w:rPr>
              <w:lastRenderedPageBreak/>
              <w:t>гаражей: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с фронтальной стороны земельного участка – 0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– 1 м, при смежном размещении – 0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 для гаражей, предназначенных для разделения на парковочные места:</w:t>
            </w:r>
          </w:p>
          <w:p w:rsidR="00B61449" w:rsidRDefault="00B61449">
            <w:pPr>
              <w:rPr>
                <w:sz w:val="22"/>
              </w:rPr>
            </w:pPr>
            <w:r>
              <w:rPr>
                <w:sz w:val="22"/>
              </w:rPr>
              <w:t xml:space="preserve">- одноэтажные гаражи не менее 30 кв. м на 1 </w:t>
            </w:r>
            <w:proofErr w:type="spellStart"/>
            <w:r>
              <w:rPr>
                <w:sz w:val="22"/>
              </w:rPr>
              <w:t>машино</w:t>
            </w:r>
            <w:proofErr w:type="spellEnd"/>
            <w:r>
              <w:rPr>
                <w:sz w:val="22"/>
              </w:rPr>
              <w:t>-место;</w:t>
            </w:r>
          </w:p>
          <w:p w:rsidR="00B61449" w:rsidRDefault="00B61449">
            <w:pPr>
              <w:rPr>
                <w:sz w:val="22"/>
              </w:rPr>
            </w:pPr>
            <w:r>
              <w:rPr>
                <w:sz w:val="22"/>
              </w:rPr>
              <w:t xml:space="preserve">- двухэтажные гаражи не менее 20 кв. м на 1 </w:t>
            </w:r>
            <w:proofErr w:type="spellStart"/>
            <w:r>
              <w:rPr>
                <w:sz w:val="22"/>
              </w:rPr>
              <w:t>машино</w:t>
            </w:r>
            <w:proofErr w:type="spellEnd"/>
            <w:r>
              <w:rPr>
                <w:sz w:val="22"/>
              </w:rPr>
              <w:t>-место;</w:t>
            </w:r>
          </w:p>
          <w:p w:rsidR="00B61449" w:rsidRDefault="00B61449">
            <w:pPr>
              <w:rPr>
                <w:sz w:val="22"/>
              </w:rPr>
            </w:pPr>
            <w:r>
              <w:rPr>
                <w:sz w:val="22"/>
              </w:rPr>
              <w:t xml:space="preserve">- наземные стоянки не менее 25 кв. м на 1 </w:t>
            </w:r>
            <w:proofErr w:type="spellStart"/>
            <w:r>
              <w:rPr>
                <w:sz w:val="22"/>
              </w:rPr>
              <w:t>машино</w:t>
            </w:r>
            <w:proofErr w:type="spellEnd"/>
            <w:r>
              <w:rPr>
                <w:sz w:val="22"/>
              </w:rPr>
              <w:t>-место.</w:t>
            </w:r>
          </w:p>
          <w:p w:rsidR="00B61449" w:rsidRDefault="00B61449">
            <w:pPr>
              <w:ind w:left="27"/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 для индивидуальных гаражей – не менее 20 кв. м.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Фронтальная сторона земельного участка – не менее 3 м.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Максимальный процент застройки в границах земельного участка не подлежат установлению.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lastRenderedPageBreak/>
              <w:t xml:space="preserve">Амбулаторное ветеринарное </w:t>
            </w:r>
            <w:r>
              <w:rPr>
                <w:rFonts w:eastAsia="Batang"/>
                <w:sz w:val="22"/>
              </w:rPr>
              <w:lastRenderedPageBreak/>
              <w:t>обслуживание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2"/>
              </w:rPr>
            </w:pPr>
            <w:r>
              <w:rPr>
                <w:rFonts w:eastAsia="Batang"/>
                <w:sz w:val="22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>
              <w:rPr>
                <w:rFonts w:eastAsia="Batang"/>
                <w:sz w:val="22"/>
              </w:rPr>
              <w:lastRenderedPageBreak/>
              <w:t>ветеринарных услуг без содержания животных</w:t>
            </w:r>
          </w:p>
          <w:p w:rsidR="00B61449" w:rsidRDefault="00B61449">
            <w:pPr>
              <w:jc w:val="both"/>
              <w:rPr>
                <w:rFonts w:eastAsia="Batang"/>
                <w:sz w:val="22"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Этажность – не более 2 наземных этажей.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Минимальные отступы от границ 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–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не менее 200 кв.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фронтальная сторона земельного участка – не менее 15 м.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 процент застройки в границах земельного участка – 70%, включая основное здание и вспомогательные строения, в том числе хозяйственные постройки.</w:t>
            </w:r>
          </w:p>
          <w:p w:rsidR="00B61449" w:rsidRDefault="00B61449">
            <w:pPr>
              <w:spacing w:before="22"/>
              <w:jc w:val="both"/>
              <w:rPr>
                <w:rFonts w:eastAsia="Batang"/>
                <w:sz w:val="22"/>
              </w:rPr>
            </w:pPr>
            <w:r>
              <w:rPr>
                <w:sz w:val="22"/>
              </w:rPr>
              <w:t>Минимальный процент озеленения – 15%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Предоставление коммунальных услуг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gramStart"/>
            <w:r>
              <w:rPr>
                <w:rFonts w:eastAsia="Calibri"/>
                <w:sz w:val="22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</w:t>
            </w:r>
            <w:r>
              <w:rPr>
                <w:rFonts w:eastAsia="Calibri"/>
                <w:sz w:val="22"/>
              </w:rPr>
              <w:lastRenderedPageBreak/>
              <w:t>плавки снега)</w:t>
            </w:r>
            <w:proofErr w:type="gramEnd"/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Этажность – до 2 надземных этажей.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 – 0 м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- трансформаторные подстанции до 150 кв. м;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- канализационные насосные станции до 2500 кв. м.;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- газорегуляторные пункты от 4 кв. м.</w:t>
            </w:r>
          </w:p>
          <w:p w:rsidR="00B61449" w:rsidRDefault="00B614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Максимальный процент застройки в границах земельного участка – 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jc w:val="both"/>
              <w:rPr>
                <w:rFonts w:eastAsia="Batang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Fonts w:eastAsia="Calibri"/>
                <w:sz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Этажность – не более 2 наземных этажей.</w:t>
            </w:r>
          </w:p>
          <w:p w:rsidR="00B61449" w:rsidRDefault="00B61449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участка: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границ смежного земельного участка – 3 м;</w:t>
            </w:r>
          </w:p>
          <w:p w:rsidR="00B61449" w:rsidRDefault="00B61449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от красной линии улиц – 5 м.</w:t>
            </w:r>
          </w:p>
          <w:p w:rsidR="00B61449" w:rsidRDefault="00B61449">
            <w:pPr>
              <w:spacing w:before="21"/>
              <w:jc w:val="both"/>
              <w:rPr>
                <w:sz w:val="22"/>
              </w:rPr>
            </w:pPr>
            <w:r>
              <w:rPr>
                <w:sz w:val="22"/>
              </w:rPr>
              <w:t>Размеры земельных участков:</w:t>
            </w:r>
          </w:p>
          <w:p w:rsidR="00B61449" w:rsidRDefault="00B61449">
            <w:pPr>
              <w:spacing w:before="21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не менее 500 кв. м;</w:t>
            </w:r>
          </w:p>
          <w:p w:rsidR="00B61449" w:rsidRDefault="00B61449">
            <w:pPr>
              <w:spacing w:before="21"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фронтальная сторона земельного участка – не менее 20 м.</w:t>
            </w:r>
          </w:p>
          <w:p w:rsidR="00B61449" w:rsidRDefault="00B61449">
            <w:pPr>
              <w:rPr>
                <w:sz w:val="22"/>
              </w:rPr>
            </w:pPr>
            <w:r>
              <w:rPr>
                <w:sz w:val="22"/>
              </w:rPr>
              <w:t>Максимальный процент застройки в границах земельного участка – 50%, включая основное здание и вспомогательные строения, в том числе хозяйственные постройки.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tabs>
                <w:tab w:val="center" w:pos="313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Оказание услуг связи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rPr>
                <w:sz w:val="22"/>
              </w:rPr>
            </w:pPr>
            <w:r>
              <w:rPr>
                <w:sz w:val="22"/>
              </w:rPr>
              <w:t>Этажность – не более 2 надземных этажей.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Минимальные отступы от границ земельного участка – 0 м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Размеры земельных участков – не менее 200 кв. м.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Фронтальная сторона земельного участка – не менее 10 м.</w:t>
            </w:r>
          </w:p>
          <w:p w:rsidR="00B61449" w:rsidRDefault="00B61449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Максимальный процент застройки в границах земельного участка – 75%.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jc w:val="both"/>
              <w:rPr>
                <w:rFonts w:eastAsia="Batang"/>
                <w:strike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Улично-дорожная сеть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eastAsia="Calibri"/>
                <w:sz w:val="22"/>
              </w:rPr>
              <w:t>велотранспортной</w:t>
            </w:r>
            <w:proofErr w:type="spellEnd"/>
            <w:r>
              <w:rPr>
                <w:rFonts w:eastAsia="Calibri"/>
                <w:sz w:val="22"/>
              </w:rPr>
              <w:t xml:space="preserve"> и инженерной инфраструктуры;</w:t>
            </w:r>
          </w:p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trike/>
                <w:sz w:val="22"/>
              </w:rPr>
            </w:pPr>
            <w:r>
              <w:rPr>
                <w:rFonts w:eastAsia="Calibri"/>
                <w:sz w:val="22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eastAsia="Calibri"/>
                <w:sz w:val="22"/>
              </w:rPr>
              <w:t>дств в гр</w:t>
            </w:r>
            <w:proofErr w:type="gramEnd"/>
            <w:r>
              <w:rPr>
                <w:rFonts w:eastAsia="Calibr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" w:history="1">
              <w:r>
                <w:rPr>
                  <w:rStyle w:val="a3"/>
                  <w:rFonts w:eastAsia="Calibri"/>
                  <w:sz w:val="22"/>
                </w:rPr>
                <w:t>кодами 2.7.1</w:t>
              </w:r>
            </w:hyperlink>
            <w:r>
              <w:rPr>
                <w:rFonts w:eastAsia="Calibri"/>
                <w:sz w:val="22"/>
              </w:rPr>
              <w:t xml:space="preserve">, </w:t>
            </w:r>
            <w:hyperlink r:id="rId9" w:history="1">
              <w:r>
                <w:rPr>
                  <w:rStyle w:val="a3"/>
                  <w:rFonts w:eastAsia="Calibri"/>
                  <w:sz w:val="22"/>
                </w:rPr>
                <w:t>4.9</w:t>
              </w:r>
            </w:hyperlink>
            <w:r>
              <w:rPr>
                <w:rFonts w:eastAsia="Calibri"/>
                <w:sz w:val="22"/>
              </w:rPr>
              <w:t xml:space="preserve">, </w:t>
            </w:r>
            <w:hyperlink r:id="rId10" w:history="1">
              <w:r>
                <w:rPr>
                  <w:rStyle w:val="a3"/>
                  <w:rFonts w:eastAsia="Calibri"/>
                  <w:sz w:val="22"/>
                </w:rPr>
                <w:t>7.2.3</w:t>
              </w:r>
            </w:hyperlink>
            <w:r>
              <w:rPr>
                <w:rFonts w:eastAsia="Calibri"/>
                <w:sz w:val="22"/>
              </w:rPr>
              <w:t xml:space="preserve"> Классификатора видов разрешенного использования земельных участков, а также некапитальных сооружений, предназначенных для охраны транспортных средств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tabs>
                <w:tab w:val="center" w:pos="1313"/>
                <w:tab w:val="right" w:pos="2627"/>
              </w:tabs>
              <w:jc w:val="both"/>
              <w:rPr>
                <w:strike/>
                <w:sz w:val="22"/>
              </w:rPr>
            </w:pPr>
            <w:r>
              <w:rPr>
                <w:sz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  <w:tr w:rsidR="00B61449" w:rsidTr="00B61449">
        <w:trPr>
          <w:trHeight w:val="20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jc w:val="both"/>
              <w:rPr>
                <w:rFonts w:eastAsia="Batang"/>
                <w:strike/>
                <w:sz w:val="22"/>
              </w:rPr>
            </w:pPr>
            <w:r>
              <w:rPr>
                <w:rFonts w:eastAsia="Calibri"/>
                <w:sz w:val="22"/>
              </w:rPr>
              <w:t>Благоустройство территории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autoSpaceDE w:val="0"/>
              <w:autoSpaceDN w:val="0"/>
              <w:adjustRightInd w:val="0"/>
              <w:jc w:val="both"/>
              <w:rPr>
                <w:strike/>
                <w:sz w:val="22"/>
              </w:rPr>
            </w:pPr>
            <w:r>
              <w:rPr>
                <w:rFonts w:eastAsia="Calibri"/>
                <w:sz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>
              <w:rPr>
                <w:rFonts w:eastAsia="Calibri"/>
                <w:sz w:val="22"/>
              </w:rPr>
              <w:lastRenderedPageBreak/>
              <w:t>туалетов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49" w:rsidRDefault="00B61449">
            <w:pPr>
              <w:tabs>
                <w:tab w:val="center" w:pos="1313"/>
                <w:tab w:val="right" w:pos="2627"/>
              </w:tabs>
              <w:jc w:val="both"/>
              <w:rPr>
                <w:strike/>
                <w:sz w:val="22"/>
              </w:rPr>
            </w:pPr>
            <w:r>
              <w:rPr>
                <w:sz w:val="22"/>
              </w:rPr>
              <w:lastRenderedPageBreak/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49" w:rsidRDefault="00B61449">
            <w:pPr>
              <w:spacing w:after="0" w:line="240" w:lineRule="auto"/>
              <w:rPr>
                <w:sz w:val="22"/>
              </w:rPr>
            </w:pPr>
          </w:p>
        </w:tc>
      </w:tr>
    </w:tbl>
    <w:p w:rsidR="00C77075" w:rsidRDefault="00C77075"/>
    <w:sectPr w:rsidR="00C77075" w:rsidSect="00B614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C179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49"/>
    <w:rsid w:val="00B61449"/>
    <w:rsid w:val="00C77075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49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61449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eastAsia="Times New Roman" w:cs="Times New Roman"/>
      <w:caps/>
      <w:kern w:val="32"/>
      <w:sz w:val="28"/>
      <w:szCs w:val="28"/>
      <w:lang w:eastAsia="ru-RU"/>
    </w:rPr>
  </w:style>
  <w:style w:type="paragraph" w:styleId="3">
    <w:name w:val="heading 3"/>
    <w:aliases w:val="Знак3 Знак,Знак,Знак3,ПодЗаголовок,Знак3 Знак Знак Знак,Знак14,Заголовок 31,Знак3 Знак Знак Знак Знак Знак"/>
    <w:basedOn w:val="a"/>
    <w:next w:val="a"/>
    <w:link w:val="30"/>
    <w:uiPriority w:val="9"/>
    <w:semiHidden/>
    <w:unhideWhenUsed/>
    <w:qFormat/>
    <w:rsid w:val="00B61449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eastAsia="Times New Roman" w:cs="Times New Roman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449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449"/>
    <w:pPr>
      <w:numPr>
        <w:ilvl w:val="4"/>
        <w:numId w:val="1"/>
      </w:numPr>
      <w:tabs>
        <w:tab w:val="num" w:pos="360"/>
        <w:tab w:val="left" w:pos="1701"/>
      </w:tabs>
      <w:spacing w:before="240" w:after="60" w:line="240" w:lineRule="auto"/>
      <w:outlineLvl w:val="4"/>
    </w:pPr>
    <w:rPr>
      <w:rFonts w:eastAsia="Times New Roman" w:cs="Times New Roman"/>
      <w:b/>
      <w:bCs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449"/>
    <w:pPr>
      <w:numPr>
        <w:ilvl w:val="5"/>
        <w:numId w:val="1"/>
      </w:numPr>
      <w:tabs>
        <w:tab w:val="num" w:pos="360"/>
      </w:tabs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styleId="7">
    <w:name w:val="heading 7"/>
    <w:aliases w:val="Заголовок x.x"/>
    <w:basedOn w:val="a"/>
    <w:next w:val="a"/>
    <w:link w:val="70"/>
    <w:uiPriority w:val="9"/>
    <w:semiHidden/>
    <w:unhideWhenUsed/>
    <w:qFormat/>
    <w:rsid w:val="00B61449"/>
    <w:pPr>
      <w:numPr>
        <w:ilvl w:val="6"/>
        <w:numId w:val="1"/>
      </w:numPr>
      <w:tabs>
        <w:tab w:val="num" w:pos="360"/>
      </w:tabs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449"/>
    <w:pPr>
      <w:numPr>
        <w:ilvl w:val="7"/>
        <w:numId w:val="1"/>
      </w:numPr>
      <w:tabs>
        <w:tab w:val="num" w:pos="360"/>
      </w:tabs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449"/>
    <w:pPr>
      <w:numPr>
        <w:ilvl w:val="8"/>
        <w:numId w:val="1"/>
      </w:numPr>
      <w:tabs>
        <w:tab w:val="num" w:pos="360"/>
      </w:tabs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B61449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 Знак,Знак3 Знак1,ПодЗаголовок Знак,Знак3 Знак Знак Знак Знак,Знак14 Знак,Заголовок 31 Знак,Знак3 Знак Знак Знак Знак Знак Знак"/>
    <w:basedOn w:val="a0"/>
    <w:link w:val="3"/>
    <w:uiPriority w:val="9"/>
    <w:semiHidden/>
    <w:rsid w:val="00B6144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B614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1449"/>
    <w:rPr>
      <w:rFonts w:ascii="Times New Roman" w:eastAsia="Times New Roman" w:hAnsi="Times New Roman" w:cs="Times New Roman"/>
      <w:b/>
      <w:bCs/>
      <w:iCs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6144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"/>
    <w:semiHidden/>
    <w:rsid w:val="00B61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14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61449"/>
    <w:rPr>
      <w:rFonts w:ascii="Arial" w:eastAsia="Times New Roman" w:hAnsi="Arial" w:cs="Arial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B61449"/>
    <w:rPr>
      <w:color w:val="0000FF" w:themeColor="hyperlink"/>
      <w:u w:val="single"/>
    </w:rPr>
  </w:style>
  <w:style w:type="paragraph" w:customStyle="1" w:styleId="21">
    <w:name w:val="Заголовок 21"/>
    <w:aliases w:val="Знак2 Знак,Знак2,ГЛАВА,Знак2 Знак Знак Знак,Знак2 Знак1,Заголовок 2 Знак1,Заголовок 2 Знак Знак,Заголовок 2 Знак Знак Зн"/>
    <w:basedOn w:val="a"/>
    <w:next w:val="a"/>
    <w:uiPriority w:val="9"/>
    <w:qFormat/>
    <w:rsid w:val="00B61449"/>
    <w:pPr>
      <w:keepNext/>
      <w:keepLines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eastAsia="Times New Roman" w:cs="Times New Roman"/>
      <w:iCs/>
      <w:sz w:val="28"/>
      <w:szCs w:val="2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49"/>
    <w:pPr>
      <w:spacing w:after="160" w:line="256" w:lineRule="auto"/>
    </w:pPr>
    <w:rPr>
      <w:rFonts w:ascii="Times New Roman" w:hAnsi="Times New Roman"/>
      <w:sz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61449"/>
    <w:pPr>
      <w:keepNext/>
      <w:pageBreakBefore/>
      <w:numPr>
        <w:numId w:val="1"/>
      </w:numPr>
      <w:tabs>
        <w:tab w:val="left" w:pos="851"/>
      </w:tabs>
      <w:spacing w:before="240" w:after="120" w:line="240" w:lineRule="auto"/>
      <w:jc w:val="center"/>
      <w:outlineLvl w:val="0"/>
    </w:pPr>
    <w:rPr>
      <w:rFonts w:eastAsia="Times New Roman" w:cs="Times New Roman"/>
      <w:caps/>
      <w:kern w:val="32"/>
      <w:sz w:val="28"/>
      <w:szCs w:val="28"/>
      <w:lang w:eastAsia="ru-RU"/>
    </w:rPr>
  </w:style>
  <w:style w:type="paragraph" w:styleId="3">
    <w:name w:val="heading 3"/>
    <w:aliases w:val="Знак3 Знак,Знак,Знак3,ПодЗаголовок,Знак3 Знак Знак Знак,Знак14,Заголовок 31,Знак3 Знак Знак Знак Знак Знак"/>
    <w:basedOn w:val="a"/>
    <w:next w:val="a"/>
    <w:link w:val="30"/>
    <w:uiPriority w:val="9"/>
    <w:semiHidden/>
    <w:unhideWhenUsed/>
    <w:qFormat/>
    <w:rsid w:val="00B61449"/>
    <w:pPr>
      <w:keepNext/>
      <w:numPr>
        <w:ilvl w:val="2"/>
        <w:numId w:val="1"/>
      </w:numPr>
      <w:tabs>
        <w:tab w:val="left" w:pos="1276"/>
      </w:tabs>
      <w:spacing w:before="120" w:after="120" w:line="240" w:lineRule="auto"/>
      <w:outlineLvl w:val="2"/>
    </w:pPr>
    <w:rPr>
      <w:rFonts w:eastAsia="Times New Roman" w:cs="Times New Roman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449"/>
    <w:pPr>
      <w:keepNext/>
      <w:numPr>
        <w:ilvl w:val="3"/>
        <w:numId w:val="1"/>
      </w:numPr>
      <w:tabs>
        <w:tab w:val="left" w:pos="1418"/>
      </w:tabs>
      <w:spacing w:before="120" w:after="60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449"/>
    <w:pPr>
      <w:numPr>
        <w:ilvl w:val="4"/>
        <w:numId w:val="1"/>
      </w:numPr>
      <w:tabs>
        <w:tab w:val="num" w:pos="360"/>
        <w:tab w:val="left" w:pos="1701"/>
      </w:tabs>
      <w:spacing w:before="240" w:after="60" w:line="240" w:lineRule="auto"/>
      <w:outlineLvl w:val="4"/>
    </w:pPr>
    <w:rPr>
      <w:rFonts w:eastAsia="Times New Roman" w:cs="Times New Roman"/>
      <w:b/>
      <w:bCs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449"/>
    <w:pPr>
      <w:numPr>
        <w:ilvl w:val="5"/>
        <w:numId w:val="1"/>
      </w:numPr>
      <w:tabs>
        <w:tab w:val="num" w:pos="360"/>
      </w:tabs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styleId="7">
    <w:name w:val="heading 7"/>
    <w:aliases w:val="Заголовок x.x"/>
    <w:basedOn w:val="a"/>
    <w:next w:val="a"/>
    <w:link w:val="70"/>
    <w:uiPriority w:val="9"/>
    <w:semiHidden/>
    <w:unhideWhenUsed/>
    <w:qFormat/>
    <w:rsid w:val="00B61449"/>
    <w:pPr>
      <w:numPr>
        <w:ilvl w:val="6"/>
        <w:numId w:val="1"/>
      </w:numPr>
      <w:tabs>
        <w:tab w:val="num" w:pos="360"/>
      </w:tabs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449"/>
    <w:pPr>
      <w:numPr>
        <w:ilvl w:val="7"/>
        <w:numId w:val="1"/>
      </w:numPr>
      <w:tabs>
        <w:tab w:val="num" w:pos="360"/>
      </w:tabs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449"/>
    <w:pPr>
      <w:numPr>
        <w:ilvl w:val="8"/>
        <w:numId w:val="1"/>
      </w:numPr>
      <w:tabs>
        <w:tab w:val="num" w:pos="360"/>
      </w:tabs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B61449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 Знак,Знак3 Знак1,ПодЗаголовок Знак,Знак3 Знак Знак Знак Знак,Знак14 Знак,Заголовок 31 Знак,Знак3 Знак Знак Знак Знак Знак Знак"/>
    <w:basedOn w:val="a0"/>
    <w:link w:val="3"/>
    <w:uiPriority w:val="9"/>
    <w:semiHidden/>
    <w:rsid w:val="00B61449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B614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1449"/>
    <w:rPr>
      <w:rFonts w:ascii="Times New Roman" w:eastAsia="Times New Roman" w:hAnsi="Times New Roman" w:cs="Times New Roman"/>
      <w:b/>
      <w:bCs/>
      <w:iCs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61449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"/>
    <w:semiHidden/>
    <w:rsid w:val="00B61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614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61449"/>
    <w:rPr>
      <w:rFonts w:ascii="Arial" w:eastAsia="Times New Roman" w:hAnsi="Arial" w:cs="Arial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B61449"/>
    <w:rPr>
      <w:color w:val="0000FF" w:themeColor="hyperlink"/>
      <w:u w:val="single"/>
    </w:rPr>
  </w:style>
  <w:style w:type="paragraph" w:customStyle="1" w:styleId="21">
    <w:name w:val="Заголовок 21"/>
    <w:aliases w:val="Знак2 Знак,Знак2,ГЛАВА,Знак2 Знак Знак Знак,Знак2 Знак1,Заголовок 2 Знак1,Заголовок 2 Знак Знак,Заголовок 2 Знак Знак Зн"/>
    <w:basedOn w:val="a"/>
    <w:next w:val="a"/>
    <w:uiPriority w:val="9"/>
    <w:qFormat/>
    <w:rsid w:val="00B61449"/>
    <w:pPr>
      <w:keepNext/>
      <w:keepLines/>
      <w:numPr>
        <w:ilvl w:val="1"/>
        <w:numId w:val="1"/>
      </w:numPr>
      <w:tabs>
        <w:tab w:val="left" w:pos="1134"/>
        <w:tab w:val="left" w:pos="1276"/>
      </w:tabs>
      <w:spacing w:before="180" w:after="60" w:line="240" w:lineRule="auto"/>
      <w:jc w:val="both"/>
      <w:outlineLvl w:val="1"/>
    </w:pPr>
    <w:rPr>
      <w:rFonts w:eastAsia="Times New Roman" w:cs="Times New Roman"/>
      <w:iCs/>
      <w:sz w:val="28"/>
      <w:szCs w:val="2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B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DB09B93A3BC368FBBA9FFA1D5E87721373E88D677F4090A435F5F8430C6AF57CFE81A170A5A0568845EBE3A318E65DAB0F47BBBMEb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4A0EFF132A09463CD9670AE963F763CA8BB51FD618B86624685F66E005C651B06EA066FE4259D8A093B9ECADC9E7464D98A415B8J7v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63DE0AAA80DA1BF7C3B815732514A5B1BF8551D58F3D3384D1A500B870F48C7DA2F7AFB7AC2852BB2173DD539743B3C8199F6B5F7EA857z5T8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1DB09B93A3BC368FBBA9FFA1D5E87721373E88D677F4090A435F5F8430C6AF57CFE81811045A0568845EBE3A318E65DAB0F47BBBMEb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1DB09B93A3BC368FBBA9FFA1D5E87721373E88D677F4090A435F5F8430C6AF57CFE81915035A0568845EBE3A318E65DAB0F47BBBME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2021-11-17T07:10:00Z</cp:lastPrinted>
  <dcterms:created xsi:type="dcterms:W3CDTF">2021-11-17T07:06:00Z</dcterms:created>
  <dcterms:modified xsi:type="dcterms:W3CDTF">2021-11-29T09:24:00Z</dcterms:modified>
</cp:coreProperties>
</file>